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9" w:rsidRPr="00DE36E5" w:rsidRDefault="007374C9" w:rsidP="007374C9">
      <w:pPr>
        <w:jc w:val="center"/>
        <w:rPr>
          <w:sz w:val="21"/>
          <w:szCs w:val="21"/>
        </w:rPr>
      </w:pPr>
      <w:r w:rsidRPr="00DE36E5">
        <w:rPr>
          <w:sz w:val="32"/>
          <w:szCs w:val="21"/>
        </w:rPr>
        <w:t xml:space="preserve">Motorola SCADA Solution for </w:t>
      </w:r>
      <w:r w:rsidR="00AC108B">
        <w:rPr>
          <w:sz w:val="32"/>
          <w:szCs w:val="21"/>
        </w:rPr>
        <w:t>Electric Utilities</w:t>
      </w:r>
    </w:p>
    <w:p w:rsidR="007374C9" w:rsidRPr="00DE36E5" w:rsidRDefault="007374C9" w:rsidP="007374C9">
      <w:pPr>
        <w:jc w:val="center"/>
        <w:rPr>
          <w:sz w:val="21"/>
          <w:szCs w:val="21"/>
        </w:rPr>
      </w:pPr>
    </w:p>
    <w:p w:rsidR="007374C9" w:rsidRPr="00DE36E5" w:rsidRDefault="007374C9" w:rsidP="007374C9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3924300</wp:posOffset>
            </wp:positionH>
            <wp:positionV relativeFrom="page">
              <wp:posOffset>2486025</wp:posOffset>
            </wp:positionV>
            <wp:extent cx="1994535" cy="1466850"/>
            <wp:effectExtent l="19050" t="0" r="5715" b="0"/>
            <wp:wrapTight wrapText="bothSides">
              <wp:wrapPolygon edited="0">
                <wp:start x="206" y="281"/>
                <wp:lineTo x="-206" y="13745"/>
                <wp:lineTo x="413" y="18234"/>
                <wp:lineTo x="619" y="18514"/>
                <wp:lineTo x="18980" y="21039"/>
                <wp:lineTo x="20011" y="21039"/>
                <wp:lineTo x="21249" y="21039"/>
                <wp:lineTo x="21456" y="18514"/>
                <wp:lineTo x="21662" y="1122"/>
                <wp:lineTo x="20630" y="281"/>
                <wp:lineTo x="16092" y="281"/>
                <wp:lineTo x="206" y="281"/>
              </wp:wrapPolygon>
            </wp:wrapTight>
            <wp:docPr id="5" name="Picture 3" descr="ACE_7IO_large_housing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E_7IO_large_housing_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08B">
        <w:rPr>
          <w:sz w:val="21"/>
          <w:szCs w:val="21"/>
        </w:rPr>
        <w:t xml:space="preserve">Global Data Specialists’ (GDS) Electric Utility application for </w:t>
      </w:r>
      <w:r w:rsidRPr="00DE36E5">
        <w:rPr>
          <w:sz w:val="21"/>
          <w:szCs w:val="21"/>
        </w:rPr>
        <w:t>Motorola</w:t>
      </w:r>
      <w:r w:rsidR="00AC108B">
        <w:rPr>
          <w:sz w:val="21"/>
          <w:szCs w:val="21"/>
        </w:rPr>
        <w:t>’s</w:t>
      </w:r>
      <w:r w:rsidRPr="00DE36E5">
        <w:rPr>
          <w:sz w:val="21"/>
          <w:szCs w:val="21"/>
        </w:rPr>
        <w:t xml:space="preserve"> Supervisory Control and Data Acquisition (SCADA) Remote Terminal Unit</w:t>
      </w:r>
      <w:r>
        <w:rPr>
          <w:sz w:val="21"/>
          <w:szCs w:val="21"/>
        </w:rPr>
        <w:t>s</w:t>
      </w:r>
      <w:r w:rsidRPr="00DE36E5">
        <w:rPr>
          <w:sz w:val="21"/>
          <w:szCs w:val="21"/>
        </w:rPr>
        <w:t xml:space="preserve"> (RTU) </w:t>
      </w:r>
      <w:r w:rsidR="00AC108B">
        <w:rPr>
          <w:sz w:val="21"/>
          <w:szCs w:val="21"/>
        </w:rPr>
        <w:t xml:space="preserve">is a </w:t>
      </w:r>
      <w:r w:rsidRPr="00DE36E5">
        <w:rPr>
          <w:sz w:val="21"/>
          <w:szCs w:val="21"/>
        </w:rPr>
        <w:t xml:space="preserve">key component of </w:t>
      </w:r>
      <w:r w:rsidR="00AC108B">
        <w:rPr>
          <w:sz w:val="21"/>
          <w:szCs w:val="21"/>
        </w:rPr>
        <w:t xml:space="preserve">an Electric Utility’s </w:t>
      </w:r>
      <w:r w:rsidRPr="00DE36E5">
        <w:rPr>
          <w:sz w:val="21"/>
          <w:szCs w:val="21"/>
        </w:rPr>
        <w:t xml:space="preserve">distribution </w:t>
      </w:r>
      <w:r w:rsidR="00662E29">
        <w:rPr>
          <w:sz w:val="21"/>
          <w:szCs w:val="21"/>
        </w:rPr>
        <w:t xml:space="preserve">automation </w:t>
      </w:r>
      <w:r w:rsidRPr="00DE36E5">
        <w:rPr>
          <w:sz w:val="21"/>
          <w:szCs w:val="21"/>
        </w:rPr>
        <w:t xml:space="preserve">systems. </w:t>
      </w:r>
      <w:r w:rsidR="00AC108B">
        <w:rPr>
          <w:sz w:val="21"/>
          <w:szCs w:val="21"/>
        </w:rPr>
        <w:t xml:space="preserve">Utilities </w:t>
      </w:r>
      <w:r w:rsidRPr="00DE36E5">
        <w:rPr>
          <w:sz w:val="21"/>
          <w:szCs w:val="21"/>
        </w:rPr>
        <w:t xml:space="preserve">enjoy </w:t>
      </w:r>
      <w:r>
        <w:rPr>
          <w:sz w:val="21"/>
          <w:szCs w:val="21"/>
        </w:rPr>
        <w:t>w</w:t>
      </w:r>
      <w:r w:rsidRPr="00DE36E5">
        <w:rPr>
          <w:sz w:val="21"/>
          <w:szCs w:val="21"/>
        </w:rPr>
        <w:t>orld-class reliabili</w:t>
      </w:r>
      <w:r>
        <w:rPr>
          <w:sz w:val="21"/>
          <w:szCs w:val="21"/>
        </w:rPr>
        <w:t>ty, h</w:t>
      </w:r>
      <w:r w:rsidRPr="00DE36E5">
        <w:rPr>
          <w:sz w:val="21"/>
          <w:szCs w:val="21"/>
        </w:rPr>
        <w:t xml:space="preserve">igh security, </w:t>
      </w:r>
      <w:proofErr w:type="gramStart"/>
      <w:r>
        <w:rPr>
          <w:sz w:val="21"/>
          <w:szCs w:val="21"/>
        </w:rPr>
        <w:t>e</w:t>
      </w:r>
      <w:r w:rsidRPr="00DE36E5">
        <w:rPr>
          <w:sz w:val="21"/>
          <w:szCs w:val="21"/>
        </w:rPr>
        <w:t>ase</w:t>
      </w:r>
      <w:proofErr w:type="gramEnd"/>
      <w:r w:rsidRPr="00DE36E5">
        <w:rPr>
          <w:sz w:val="21"/>
          <w:szCs w:val="21"/>
        </w:rPr>
        <w:t xml:space="preserve">-of-use, </w:t>
      </w:r>
      <w:r>
        <w:rPr>
          <w:sz w:val="21"/>
          <w:szCs w:val="21"/>
        </w:rPr>
        <w:t>p</w:t>
      </w:r>
      <w:r w:rsidRPr="00DE36E5">
        <w:rPr>
          <w:sz w:val="21"/>
          <w:szCs w:val="21"/>
        </w:rPr>
        <w:t xml:space="preserve">roven low total cost of ownership, and </w:t>
      </w:r>
      <w:r>
        <w:rPr>
          <w:sz w:val="21"/>
          <w:szCs w:val="21"/>
        </w:rPr>
        <w:t>i</w:t>
      </w:r>
      <w:r w:rsidRPr="00DE36E5">
        <w:rPr>
          <w:sz w:val="21"/>
          <w:szCs w:val="21"/>
        </w:rPr>
        <w:t xml:space="preserve">ndustry leading </w:t>
      </w:r>
      <w:r>
        <w:rPr>
          <w:sz w:val="21"/>
          <w:szCs w:val="21"/>
        </w:rPr>
        <w:t>c</w:t>
      </w:r>
      <w:r w:rsidRPr="00DE36E5">
        <w:rPr>
          <w:sz w:val="21"/>
          <w:szCs w:val="21"/>
        </w:rPr>
        <w:t>ommunications from their investment in Motorola SCADA systems.</w:t>
      </w:r>
    </w:p>
    <w:p w:rsidR="007374C9" w:rsidRPr="00DE36E5" w:rsidRDefault="007374C9" w:rsidP="007374C9">
      <w:pPr>
        <w:rPr>
          <w:sz w:val="21"/>
          <w:szCs w:val="21"/>
        </w:rPr>
      </w:pPr>
    </w:p>
    <w:p w:rsidR="007374C9" w:rsidRPr="00DE36E5" w:rsidRDefault="00AC108B" w:rsidP="007374C9">
      <w:pPr>
        <w:rPr>
          <w:sz w:val="21"/>
          <w:szCs w:val="21"/>
        </w:rPr>
      </w:pPr>
      <w:r>
        <w:rPr>
          <w:sz w:val="21"/>
          <w:szCs w:val="21"/>
        </w:rPr>
        <w:t>S</w:t>
      </w:r>
      <w:r w:rsidR="007374C9" w:rsidRPr="00DE36E5">
        <w:rPr>
          <w:sz w:val="21"/>
          <w:szCs w:val="21"/>
        </w:rPr>
        <w:t xml:space="preserve">everal electric utilities have deployed </w:t>
      </w:r>
      <w:r>
        <w:rPr>
          <w:sz w:val="21"/>
          <w:szCs w:val="21"/>
        </w:rPr>
        <w:t xml:space="preserve">GDS &amp; Motorola’s SCADA system </w:t>
      </w:r>
      <w:r w:rsidR="007374C9" w:rsidRPr="00DE36E5">
        <w:rPr>
          <w:sz w:val="21"/>
          <w:szCs w:val="21"/>
        </w:rPr>
        <w:t>in their distribution automation operations</w:t>
      </w:r>
      <w:r>
        <w:rPr>
          <w:sz w:val="21"/>
          <w:szCs w:val="21"/>
        </w:rPr>
        <w:t>. They utilize these sys</w:t>
      </w:r>
      <w:r w:rsidR="007374C9" w:rsidRPr="00DE36E5">
        <w:rPr>
          <w:sz w:val="21"/>
          <w:szCs w:val="21"/>
        </w:rPr>
        <w:t>tems in its network primarily for:</w:t>
      </w:r>
    </w:p>
    <w:p w:rsidR="007374C9" w:rsidRPr="00DE36E5" w:rsidRDefault="007374C9" w:rsidP="007374C9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/>
        <w:textAlignment w:val="auto"/>
        <w:rPr>
          <w:sz w:val="21"/>
          <w:szCs w:val="21"/>
        </w:rPr>
      </w:pPr>
      <w:r w:rsidRPr="00DE36E5">
        <w:rPr>
          <w:sz w:val="21"/>
          <w:szCs w:val="21"/>
        </w:rPr>
        <w:t>Line switching operations</w:t>
      </w:r>
    </w:p>
    <w:p w:rsidR="007374C9" w:rsidRPr="00DE36E5" w:rsidRDefault="007374C9" w:rsidP="007374C9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/>
        <w:textAlignment w:val="auto"/>
        <w:rPr>
          <w:sz w:val="21"/>
          <w:szCs w:val="21"/>
        </w:rPr>
      </w:pPr>
      <w:r w:rsidRPr="00DE36E5">
        <w:rPr>
          <w:sz w:val="21"/>
          <w:szCs w:val="21"/>
        </w:rPr>
        <w:t xml:space="preserve">Control </w:t>
      </w:r>
      <w:proofErr w:type="spellStart"/>
      <w:r w:rsidRPr="00DE36E5">
        <w:rPr>
          <w:sz w:val="21"/>
          <w:szCs w:val="21"/>
        </w:rPr>
        <w:t>reclosure</w:t>
      </w:r>
      <w:proofErr w:type="spellEnd"/>
      <w:r w:rsidRPr="00DE36E5">
        <w:rPr>
          <w:sz w:val="21"/>
          <w:szCs w:val="21"/>
        </w:rPr>
        <w:t xml:space="preserve"> operation (i.e. Cooper Switches)</w:t>
      </w:r>
    </w:p>
    <w:p w:rsidR="007374C9" w:rsidRPr="00DE36E5" w:rsidRDefault="007374C9" w:rsidP="007374C9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/>
        <w:textAlignment w:val="auto"/>
        <w:rPr>
          <w:sz w:val="21"/>
          <w:szCs w:val="21"/>
        </w:rPr>
      </w:pPr>
      <w:r w:rsidRPr="00DE36E5">
        <w:rPr>
          <w:sz w:val="21"/>
          <w:szCs w:val="21"/>
        </w:rPr>
        <w:t>Motor Operated Air Breaks (MOAB)</w:t>
      </w:r>
    </w:p>
    <w:p w:rsidR="007374C9" w:rsidRPr="00DE36E5" w:rsidRDefault="007374C9" w:rsidP="007374C9">
      <w:pPr>
        <w:rPr>
          <w:sz w:val="21"/>
          <w:szCs w:val="21"/>
        </w:rPr>
      </w:pPr>
    </w:p>
    <w:p w:rsidR="007374C9" w:rsidRPr="00DE36E5" w:rsidRDefault="00AC108B" w:rsidP="007374C9">
      <w:pPr>
        <w:rPr>
          <w:sz w:val="21"/>
          <w:szCs w:val="21"/>
        </w:rPr>
      </w:pPr>
      <w:r>
        <w:rPr>
          <w:sz w:val="21"/>
          <w:szCs w:val="21"/>
        </w:rPr>
        <w:t>As an example, one utility o</w:t>
      </w:r>
      <w:r w:rsidR="007374C9" w:rsidRPr="00DE36E5">
        <w:rPr>
          <w:sz w:val="21"/>
          <w:szCs w:val="21"/>
        </w:rPr>
        <w:t>perat</w:t>
      </w:r>
      <w:r>
        <w:rPr>
          <w:sz w:val="21"/>
          <w:szCs w:val="21"/>
        </w:rPr>
        <w:t>es over 1</w:t>
      </w:r>
      <w:r w:rsidR="007374C9" w:rsidRPr="00DE36E5">
        <w:rPr>
          <w:sz w:val="21"/>
          <w:szCs w:val="21"/>
        </w:rPr>
        <w:t>,</w:t>
      </w:r>
      <w:r>
        <w:rPr>
          <w:sz w:val="21"/>
          <w:szCs w:val="21"/>
        </w:rPr>
        <w:t>2</w:t>
      </w:r>
      <w:r w:rsidR="007374C9" w:rsidRPr="00DE36E5">
        <w:rPr>
          <w:sz w:val="21"/>
          <w:szCs w:val="21"/>
        </w:rPr>
        <w:t xml:space="preserve">00 RTUs in its network over </w:t>
      </w:r>
      <w:r w:rsidR="007374C9">
        <w:rPr>
          <w:sz w:val="21"/>
          <w:szCs w:val="21"/>
        </w:rPr>
        <w:t xml:space="preserve">seven </w:t>
      </w:r>
      <w:r w:rsidR="007374C9" w:rsidRPr="00DE36E5">
        <w:rPr>
          <w:sz w:val="21"/>
          <w:szCs w:val="21"/>
        </w:rPr>
        <w:t>separate communications zones</w:t>
      </w:r>
      <w:r>
        <w:rPr>
          <w:sz w:val="21"/>
          <w:szCs w:val="21"/>
        </w:rPr>
        <w:t xml:space="preserve">. This company </w:t>
      </w:r>
      <w:r w:rsidR="007374C9" w:rsidRPr="00DE36E5">
        <w:rPr>
          <w:sz w:val="21"/>
          <w:szCs w:val="21"/>
        </w:rPr>
        <w:t>uses the majority of its RTUs for line switching</w:t>
      </w:r>
      <w:r w:rsidR="007374C9">
        <w:rPr>
          <w:sz w:val="21"/>
          <w:szCs w:val="21"/>
        </w:rPr>
        <w:t xml:space="preserve">. </w:t>
      </w:r>
      <w:proofErr w:type="gramStart"/>
      <w:r w:rsidR="007374C9">
        <w:rPr>
          <w:sz w:val="21"/>
          <w:szCs w:val="21"/>
        </w:rPr>
        <w:t>which</w:t>
      </w:r>
      <w:proofErr w:type="gramEnd"/>
      <w:r w:rsidR="007374C9" w:rsidRPr="00DE36E5">
        <w:rPr>
          <w:sz w:val="21"/>
          <w:szCs w:val="21"/>
        </w:rPr>
        <w:t xml:space="preserve"> minimizes the requirement for a lineman to have to go on site. The utility uses the built in capability of the Motorola SCADA system’s power supply to detect loss of incoming power as a first indicator of line failure.  These RTUs monitor power for power lines ranging from 12KV to 115KV.</w:t>
      </w:r>
    </w:p>
    <w:p w:rsidR="007374C9" w:rsidRPr="00DE36E5" w:rsidRDefault="007374C9" w:rsidP="007374C9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page">
              <wp:posOffset>4533900</wp:posOffset>
            </wp:positionV>
            <wp:extent cx="1828800" cy="1647825"/>
            <wp:effectExtent l="19050" t="0" r="0" b="0"/>
            <wp:wrapSquare wrapText="bothSides"/>
            <wp:docPr id="1" name="Picture 6" descr="Typical Hdw M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ypical Hdw Mt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4C9" w:rsidRPr="00DE36E5" w:rsidRDefault="00AC108B" w:rsidP="007374C9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2019300</wp:posOffset>
            </wp:positionH>
            <wp:positionV relativeFrom="page">
              <wp:posOffset>6524625</wp:posOffset>
            </wp:positionV>
            <wp:extent cx="1923415" cy="1647825"/>
            <wp:effectExtent l="19050" t="0" r="635" b="0"/>
            <wp:wrapSquare wrapText="bothSides"/>
            <wp:docPr id="6" name="Picture 5" descr="sub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bst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4C9" w:rsidRPr="00DE36E5">
        <w:rPr>
          <w:sz w:val="21"/>
          <w:szCs w:val="21"/>
        </w:rPr>
        <w:t>RTUs that are used for sectionalizing have custom logic programmed in them. This capability, combined with support for 3</w:t>
      </w:r>
      <w:r w:rsidR="007374C9" w:rsidRPr="00DE36E5">
        <w:rPr>
          <w:sz w:val="21"/>
          <w:szCs w:val="21"/>
          <w:vertAlign w:val="superscript"/>
        </w:rPr>
        <w:t>rd</w:t>
      </w:r>
      <w:r w:rsidR="007374C9" w:rsidRPr="00DE36E5">
        <w:rPr>
          <w:sz w:val="21"/>
          <w:szCs w:val="21"/>
        </w:rPr>
        <w:t xml:space="preserve"> party communication protocols such as MODBUS </w:t>
      </w:r>
      <w:r w:rsidR="007374C9">
        <w:rPr>
          <w:sz w:val="21"/>
          <w:szCs w:val="21"/>
        </w:rPr>
        <w:t xml:space="preserve">and DNP3, allows </w:t>
      </w:r>
      <w:r w:rsidR="007374C9" w:rsidRPr="00DE36E5">
        <w:rPr>
          <w:sz w:val="21"/>
          <w:szCs w:val="21"/>
        </w:rPr>
        <w:t>RTU</w:t>
      </w:r>
      <w:r w:rsidR="007374C9">
        <w:rPr>
          <w:sz w:val="21"/>
          <w:szCs w:val="21"/>
        </w:rPr>
        <w:t>s</w:t>
      </w:r>
      <w:r w:rsidR="007374C9" w:rsidRPr="00DE36E5">
        <w:rPr>
          <w:sz w:val="21"/>
          <w:szCs w:val="21"/>
        </w:rPr>
        <w:t xml:space="preserve"> to interface to Cooper Switches and other </w:t>
      </w:r>
      <w:proofErr w:type="spellStart"/>
      <w:r w:rsidR="007374C9" w:rsidRPr="00DE36E5">
        <w:rPr>
          <w:sz w:val="21"/>
          <w:szCs w:val="21"/>
        </w:rPr>
        <w:t>reclosure</w:t>
      </w:r>
      <w:proofErr w:type="spellEnd"/>
      <w:r w:rsidR="007374C9" w:rsidRPr="00DE36E5">
        <w:rPr>
          <w:sz w:val="21"/>
          <w:szCs w:val="21"/>
        </w:rPr>
        <w:t xml:space="preserve"> equipment, which provides sectionalizing and the ability to restore power quickly.  </w:t>
      </w:r>
      <w:r w:rsidR="007374C9">
        <w:rPr>
          <w:sz w:val="21"/>
          <w:szCs w:val="21"/>
        </w:rPr>
        <w:t>The c</w:t>
      </w:r>
      <w:r w:rsidR="007374C9" w:rsidRPr="00DE36E5">
        <w:rPr>
          <w:sz w:val="21"/>
          <w:szCs w:val="21"/>
        </w:rPr>
        <w:t xml:space="preserve">ommunications interface to the Cooper Switch provides status information about the switch equipment to operations personnel at the </w:t>
      </w:r>
      <w:r w:rsidR="007374C9">
        <w:rPr>
          <w:sz w:val="21"/>
          <w:szCs w:val="21"/>
        </w:rPr>
        <w:t xml:space="preserve">network operations </w:t>
      </w:r>
      <w:r w:rsidR="007374C9" w:rsidRPr="00DE36E5">
        <w:rPr>
          <w:sz w:val="21"/>
          <w:szCs w:val="21"/>
        </w:rPr>
        <w:t>center. Motorola SCADA system’s 3</w:t>
      </w:r>
      <w:r w:rsidR="007374C9" w:rsidRPr="00DE36E5">
        <w:rPr>
          <w:sz w:val="21"/>
          <w:szCs w:val="21"/>
          <w:vertAlign w:val="superscript"/>
        </w:rPr>
        <w:t>rd</w:t>
      </w:r>
      <w:r w:rsidR="007374C9" w:rsidRPr="00DE36E5">
        <w:rPr>
          <w:sz w:val="21"/>
          <w:szCs w:val="21"/>
        </w:rPr>
        <w:t xml:space="preserve"> party communication</w:t>
      </w:r>
      <w:r w:rsidR="007374C9">
        <w:rPr>
          <w:sz w:val="21"/>
          <w:szCs w:val="21"/>
        </w:rPr>
        <w:t xml:space="preserve"> protocols and ports </w:t>
      </w:r>
      <w:proofErr w:type="gramStart"/>
      <w:r w:rsidR="007374C9">
        <w:rPr>
          <w:sz w:val="21"/>
          <w:szCs w:val="21"/>
        </w:rPr>
        <w:t>allows</w:t>
      </w:r>
      <w:proofErr w:type="gramEnd"/>
      <w:r w:rsidR="007374C9">
        <w:rPr>
          <w:sz w:val="21"/>
          <w:szCs w:val="21"/>
        </w:rPr>
        <w:t xml:space="preserve"> </w:t>
      </w:r>
      <w:r w:rsidR="007374C9" w:rsidRPr="00DE36E5">
        <w:rPr>
          <w:sz w:val="21"/>
          <w:szCs w:val="21"/>
        </w:rPr>
        <w:t>RTU</w:t>
      </w:r>
      <w:r w:rsidR="007374C9">
        <w:rPr>
          <w:sz w:val="21"/>
          <w:szCs w:val="21"/>
        </w:rPr>
        <w:t>s</w:t>
      </w:r>
      <w:r w:rsidR="007374C9" w:rsidRPr="00DE36E5">
        <w:rPr>
          <w:sz w:val="21"/>
          <w:szCs w:val="21"/>
        </w:rPr>
        <w:t xml:space="preserve"> to interface to Intelligent Electronic Devices and smart sensors for monitoring and control.</w:t>
      </w:r>
    </w:p>
    <w:p w:rsidR="007374C9" w:rsidRPr="00DE36E5" w:rsidRDefault="007374C9" w:rsidP="007374C9">
      <w:pPr>
        <w:rPr>
          <w:sz w:val="21"/>
          <w:szCs w:val="21"/>
        </w:rPr>
      </w:pPr>
    </w:p>
    <w:p w:rsidR="00AC108B" w:rsidRDefault="007374C9" w:rsidP="007374C9">
      <w:pPr>
        <w:rPr>
          <w:sz w:val="21"/>
          <w:szCs w:val="21"/>
        </w:rPr>
      </w:pPr>
      <w:r w:rsidRPr="00DE36E5">
        <w:rPr>
          <w:sz w:val="21"/>
          <w:szCs w:val="21"/>
        </w:rPr>
        <w:t xml:space="preserve">The communications capabilities and flexibility of Motorola SCADA systems allows customers to interface to a variety of communication methods such as VHF, UHF, 800MHz, and 900MHz radio systems either Analog or Digital; Cell Modems; Ethernet; and RS232/RS485. This allows </w:t>
      </w:r>
      <w:r w:rsidR="00AC108B">
        <w:rPr>
          <w:sz w:val="21"/>
          <w:szCs w:val="21"/>
        </w:rPr>
        <w:t xml:space="preserve">the electric utility </w:t>
      </w:r>
      <w:r w:rsidRPr="00DE36E5">
        <w:rPr>
          <w:sz w:val="21"/>
          <w:szCs w:val="21"/>
        </w:rPr>
        <w:t>to take advantage of multiple communications options to reach out from their main operations centers to the furthest and/or remotest locations in their distribution network.</w:t>
      </w:r>
      <w:r w:rsidR="00AC108B">
        <w:rPr>
          <w:sz w:val="21"/>
          <w:szCs w:val="21"/>
        </w:rPr>
        <w:t xml:space="preserve"> </w:t>
      </w:r>
    </w:p>
    <w:p w:rsidR="00AC108B" w:rsidRDefault="00AC108B" w:rsidP="007374C9">
      <w:pPr>
        <w:rPr>
          <w:sz w:val="21"/>
          <w:szCs w:val="21"/>
        </w:rPr>
      </w:pPr>
    </w:p>
    <w:p w:rsidR="007374C9" w:rsidRDefault="007374C9" w:rsidP="007374C9">
      <w:pPr>
        <w:rPr>
          <w:sz w:val="21"/>
          <w:szCs w:val="21"/>
        </w:rPr>
      </w:pPr>
      <w:r w:rsidRPr="00DE36E5">
        <w:rPr>
          <w:sz w:val="21"/>
          <w:szCs w:val="21"/>
        </w:rPr>
        <w:t>Motorola SCADA systems offer timely and actionable information to electric utility operations personnel so that they can meet their customer demands in a cost effective and expeditious manner. The proven reliability and durability of Motorola SCADA systems</w:t>
      </w:r>
      <w:r>
        <w:rPr>
          <w:sz w:val="21"/>
          <w:szCs w:val="21"/>
        </w:rPr>
        <w:t xml:space="preserve"> </w:t>
      </w:r>
      <w:r w:rsidRPr="00DE36E5">
        <w:rPr>
          <w:sz w:val="21"/>
          <w:szCs w:val="21"/>
        </w:rPr>
        <w:t xml:space="preserve">continues to yield </w:t>
      </w:r>
      <w:r w:rsidR="00AC108B">
        <w:rPr>
          <w:sz w:val="21"/>
          <w:szCs w:val="21"/>
        </w:rPr>
        <w:t xml:space="preserve">Electric Utilities </w:t>
      </w:r>
      <w:r w:rsidRPr="00DE36E5">
        <w:rPr>
          <w:sz w:val="21"/>
          <w:szCs w:val="21"/>
        </w:rPr>
        <w:t>a superior return on their investment.</w:t>
      </w:r>
    </w:p>
    <w:p w:rsidR="00666652" w:rsidRDefault="00666652" w:rsidP="007374C9">
      <w:pPr>
        <w:rPr>
          <w:sz w:val="21"/>
          <w:szCs w:val="21"/>
        </w:rPr>
      </w:pPr>
    </w:p>
    <w:p w:rsidR="00040A51" w:rsidRPr="00AC108B" w:rsidRDefault="00666652" w:rsidP="007374C9">
      <w:pPr>
        <w:rPr>
          <w:sz w:val="21"/>
          <w:szCs w:val="21"/>
        </w:rPr>
      </w:pPr>
      <w:r>
        <w:rPr>
          <w:sz w:val="21"/>
          <w:szCs w:val="21"/>
        </w:rPr>
        <w:t xml:space="preserve">For additional information, please contact Global Data Specialists at </w:t>
      </w:r>
      <w:hyperlink r:id="rId10" w:history="1">
        <w:r w:rsidRPr="00854AAA">
          <w:rPr>
            <w:rStyle w:val="Hyperlink"/>
            <w:sz w:val="21"/>
            <w:szCs w:val="21"/>
          </w:rPr>
          <w:t>sales@gbl-data.com</w:t>
        </w:r>
      </w:hyperlink>
      <w:r>
        <w:rPr>
          <w:sz w:val="21"/>
          <w:szCs w:val="21"/>
        </w:rPr>
        <w:t xml:space="preserve"> or 480-461-3401.</w:t>
      </w:r>
    </w:p>
    <w:sectPr w:rsidR="00040A51" w:rsidRPr="00AC108B" w:rsidSect="00AC108B">
      <w:headerReference w:type="default" r:id="rId11"/>
      <w:footerReference w:type="default" r:id="rId12"/>
      <w:pgSz w:w="12240" w:h="15840"/>
      <w:pgMar w:top="1440" w:right="1440" w:bottom="1170" w:left="1440" w:header="272" w:footer="30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5BC" w:rsidRDefault="006905BC">
      <w:r>
        <w:separator/>
      </w:r>
    </w:p>
  </w:endnote>
  <w:endnote w:type="continuationSeparator" w:id="0">
    <w:p w:rsidR="006905BC" w:rsidRDefault="00690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12" w:rsidRPr="00B84E3A" w:rsidRDefault="00842912" w:rsidP="00842912">
    <w:pPr>
      <w:rPr>
        <w:rFonts w:ascii="Calibri" w:eastAsia="Calibri" w:hAnsi="Calibri" w:cs="Univers-Light"/>
        <w:color w:val="333333"/>
        <w:sz w:val="16"/>
        <w:szCs w:val="16"/>
      </w:rPr>
    </w:pPr>
    <w:r w:rsidRPr="00B84E3A">
      <w:rPr>
        <w:rFonts w:ascii="Calibri" w:hAnsi="Calibri"/>
        <w:sz w:val="16"/>
        <w:szCs w:val="16"/>
      </w:rPr>
      <w:t>Confidential &amp; Proprietary</w:t>
    </w:r>
    <w:r w:rsidRPr="00B84E3A">
      <w:rPr>
        <w:rFonts w:ascii="Calibri" w:hAnsi="Calibri"/>
        <w:sz w:val="16"/>
        <w:szCs w:val="16"/>
      </w:rPr>
      <w:tab/>
      <w:t xml:space="preserve"> </w:t>
    </w:r>
    <w:r w:rsidR="001D6F07">
      <w:rPr>
        <w:rFonts w:ascii="Calibri" w:hAnsi="Calibri"/>
        <w:sz w:val="16"/>
        <w:szCs w:val="16"/>
      </w:rPr>
      <w:t xml:space="preserve">                                </w:t>
    </w:r>
    <w:r w:rsidRPr="00B84E3A">
      <w:rPr>
        <w:rFonts w:ascii="Calibri" w:eastAsia="Calibri" w:hAnsi="Calibri" w:cs="Univers-Light"/>
        <w:color w:val="333333"/>
        <w:sz w:val="16"/>
        <w:szCs w:val="16"/>
      </w:rPr>
      <w:t>MOTOROLA and the Stylized M Logo are registered in the U.S. Patent and Trademark Office.</w:t>
    </w:r>
  </w:p>
  <w:p w:rsidR="00842912" w:rsidRPr="00B84E3A" w:rsidRDefault="00AA7D28" w:rsidP="00842912">
    <w:pPr>
      <w:pStyle w:val="Footer"/>
      <w:rPr>
        <w:rFonts w:ascii="Calibri" w:eastAsia="Calibri" w:hAnsi="Calibri" w:cs="Univers-Light"/>
        <w:color w:val="333333"/>
        <w:sz w:val="16"/>
        <w:szCs w:val="16"/>
      </w:rPr>
    </w:pPr>
    <w:r>
      <w:rPr>
        <w:rFonts w:ascii="Calibri" w:hAnsi="Calibri"/>
        <w:sz w:val="16"/>
        <w:szCs w:val="16"/>
      </w:rPr>
      <w:t>Copyright © 2018</w:t>
    </w:r>
    <w:r w:rsidR="00842912" w:rsidRPr="00B84E3A">
      <w:rPr>
        <w:rFonts w:ascii="Calibri" w:hAnsi="Calibri"/>
        <w:sz w:val="16"/>
        <w:szCs w:val="16"/>
      </w:rPr>
      <w:t xml:space="preserve"> Global Data Specialists</w:t>
    </w:r>
    <w:r w:rsidR="00842912">
      <w:rPr>
        <w:rFonts w:ascii="Calibri" w:eastAsia="Calibri" w:hAnsi="Calibri" w:cs="Univers-Light"/>
        <w:color w:val="333333"/>
        <w:sz w:val="16"/>
        <w:szCs w:val="16"/>
      </w:rPr>
      <w:t xml:space="preserve"> </w:t>
    </w:r>
    <w:r w:rsidR="00842912" w:rsidRPr="00B84E3A">
      <w:rPr>
        <w:rFonts w:ascii="Calibri" w:eastAsia="Calibri" w:hAnsi="Calibri" w:cs="Univers-Light"/>
        <w:color w:val="333333"/>
        <w:sz w:val="16"/>
        <w:szCs w:val="16"/>
      </w:rPr>
      <w:t>All other product or service names are the property of their register</w:t>
    </w:r>
    <w:r>
      <w:rPr>
        <w:rFonts w:ascii="Calibri" w:eastAsia="Calibri" w:hAnsi="Calibri" w:cs="Univers-Light"/>
        <w:color w:val="333333"/>
        <w:sz w:val="16"/>
        <w:szCs w:val="16"/>
      </w:rPr>
      <w:t>ed owners. © Motorola, Inc. 2018</w:t>
    </w:r>
    <w:r w:rsidR="00842912" w:rsidRPr="00B84E3A">
      <w:rPr>
        <w:rFonts w:ascii="Calibri" w:eastAsia="Calibri" w:hAnsi="Calibri" w:cs="Univers-Light"/>
        <w:color w:val="333333"/>
        <w:sz w:val="16"/>
        <w:szCs w:val="16"/>
      </w:rPr>
      <w:t>.</w:t>
    </w:r>
  </w:p>
  <w:p w:rsidR="00842912" w:rsidRDefault="00842912" w:rsidP="00842912">
    <w:pPr>
      <w:pStyle w:val="Footer"/>
      <w:jc w:val="center"/>
      <w:rPr>
        <w:rFonts w:ascii="Calibri" w:hAnsi="Calibri"/>
        <w:sz w:val="16"/>
        <w:szCs w:val="16"/>
      </w:rPr>
    </w:pPr>
  </w:p>
  <w:p w:rsidR="001D6F07" w:rsidRPr="00842912" w:rsidRDefault="00842912" w:rsidP="00AC108B">
    <w:pPr>
      <w:pStyle w:val="Footer"/>
      <w:jc w:val="center"/>
      <w:rPr>
        <w:rFonts w:ascii="Calibri" w:hAnsi="Calibri"/>
        <w:sz w:val="16"/>
        <w:szCs w:val="16"/>
      </w:rPr>
    </w:pPr>
    <w:r w:rsidRPr="00B84E3A">
      <w:rPr>
        <w:rFonts w:ascii="Calibri" w:hAnsi="Calibri"/>
        <w:sz w:val="16"/>
        <w:szCs w:val="16"/>
      </w:rPr>
      <w:t xml:space="preserve">Page </w:t>
    </w:r>
    <w:r w:rsidR="00365460" w:rsidRPr="00B84E3A">
      <w:rPr>
        <w:rStyle w:val="PageNumber"/>
        <w:rFonts w:ascii="Calibri" w:hAnsi="Calibri"/>
        <w:sz w:val="16"/>
        <w:szCs w:val="16"/>
      </w:rPr>
      <w:fldChar w:fldCharType="begin"/>
    </w:r>
    <w:r w:rsidRPr="00B84E3A">
      <w:rPr>
        <w:rStyle w:val="PageNumber"/>
        <w:rFonts w:ascii="Calibri" w:hAnsi="Calibri"/>
        <w:sz w:val="16"/>
        <w:szCs w:val="16"/>
      </w:rPr>
      <w:instrText xml:space="preserve"> PAGE </w:instrText>
    </w:r>
    <w:r w:rsidR="00365460" w:rsidRPr="00B84E3A">
      <w:rPr>
        <w:rStyle w:val="PageNumber"/>
        <w:rFonts w:ascii="Calibri" w:hAnsi="Calibri"/>
        <w:sz w:val="16"/>
        <w:szCs w:val="16"/>
      </w:rPr>
      <w:fldChar w:fldCharType="separate"/>
    </w:r>
    <w:r w:rsidR="00AA7D28">
      <w:rPr>
        <w:rStyle w:val="PageNumber"/>
        <w:rFonts w:ascii="Calibri" w:hAnsi="Calibri"/>
        <w:noProof/>
        <w:sz w:val="16"/>
        <w:szCs w:val="16"/>
      </w:rPr>
      <w:t>1</w:t>
    </w:r>
    <w:r w:rsidR="00365460" w:rsidRPr="00B84E3A">
      <w:rPr>
        <w:rStyle w:val="PageNumber"/>
        <w:rFonts w:ascii="Calibri" w:hAnsi="Calibri"/>
        <w:sz w:val="16"/>
        <w:szCs w:val="16"/>
      </w:rPr>
      <w:fldChar w:fldCharType="end"/>
    </w:r>
    <w:r w:rsidRPr="00B84E3A">
      <w:rPr>
        <w:rStyle w:val="PageNumber"/>
        <w:rFonts w:ascii="Calibri" w:hAnsi="Calibri"/>
        <w:sz w:val="16"/>
        <w:szCs w:val="16"/>
      </w:rPr>
      <w:t xml:space="preserve"> of </w:t>
    </w:r>
    <w:r w:rsidR="00365460" w:rsidRPr="00B84E3A">
      <w:rPr>
        <w:rStyle w:val="PageNumber"/>
        <w:rFonts w:ascii="Calibri" w:hAnsi="Calibri"/>
        <w:sz w:val="16"/>
        <w:szCs w:val="16"/>
      </w:rPr>
      <w:fldChar w:fldCharType="begin"/>
    </w:r>
    <w:r w:rsidRPr="00B84E3A">
      <w:rPr>
        <w:rStyle w:val="PageNumber"/>
        <w:rFonts w:ascii="Calibri" w:hAnsi="Calibri"/>
        <w:sz w:val="16"/>
        <w:szCs w:val="16"/>
      </w:rPr>
      <w:instrText xml:space="preserve"> NUMPAGES </w:instrText>
    </w:r>
    <w:r w:rsidR="00365460" w:rsidRPr="00B84E3A">
      <w:rPr>
        <w:rStyle w:val="PageNumber"/>
        <w:rFonts w:ascii="Calibri" w:hAnsi="Calibri"/>
        <w:sz w:val="16"/>
        <w:szCs w:val="16"/>
      </w:rPr>
      <w:fldChar w:fldCharType="separate"/>
    </w:r>
    <w:r w:rsidR="00AA7D28">
      <w:rPr>
        <w:rStyle w:val="PageNumber"/>
        <w:rFonts w:ascii="Calibri" w:hAnsi="Calibri"/>
        <w:noProof/>
        <w:sz w:val="16"/>
        <w:szCs w:val="16"/>
      </w:rPr>
      <w:t>1</w:t>
    </w:r>
    <w:r w:rsidR="00365460" w:rsidRPr="00B84E3A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5BC" w:rsidRDefault="006905BC">
      <w:r>
        <w:separator/>
      </w:r>
    </w:p>
  </w:footnote>
  <w:footnote w:type="continuationSeparator" w:id="0">
    <w:p w:rsidR="006905BC" w:rsidRDefault="00690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81" w:rsidRDefault="00CD4A81"/>
  <w:p w:rsidR="001D6F07" w:rsidRDefault="001D6F07"/>
  <w:tbl>
    <w:tblPr>
      <w:tblW w:w="0" w:type="auto"/>
      <w:tblInd w:w="-72" w:type="dxa"/>
      <w:tblLayout w:type="fixed"/>
      <w:tblLook w:val="04A0"/>
    </w:tblPr>
    <w:tblGrid>
      <w:gridCol w:w="2970"/>
      <w:gridCol w:w="3870"/>
      <w:gridCol w:w="2790"/>
    </w:tblGrid>
    <w:tr w:rsidR="00842912" w:rsidRPr="004D2CD5" w:rsidTr="00AA3BB7">
      <w:tc>
        <w:tcPr>
          <w:tcW w:w="2970" w:type="dxa"/>
        </w:tcPr>
        <w:p w:rsidR="00842912" w:rsidRPr="004D2CD5" w:rsidRDefault="00522313" w:rsidP="004D2CD5">
          <w:pPr>
            <w:tabs>
              <w:tab w:val="left" w:leader="dot" w:pos="1440"/>
            </w:tabs>
            <w:jc w:val="center"/>
            <w:rPr>
              <w:noProof/>
              <w:color w:val="FFFFFF"/>
              <w:spacing w:val="-15"/>
              <w:sz w:val="24"/>
              <w:szCs w:val="24"/>
            </w:rPr>
          </w:pPr>
          <w:r>
            <w:rPr>
              <w:noProof/>
              <w:color w:val="FFFFFF"/>
              <w:spacing w:val="-15"/>
              <w:sz w:val="24"/>
              <w:szCs w:val="24"/>
            </w:rPr>
            <w:drawing>
              <wp:inline distT="0" distB="0" distL="0" distR="0">
                <wp:extent cx="1762125" cy="390525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</w:tcPr>
        <w:p w:rsidR="00842912" w:rsidRPr="004D2CD5" w:rsidRDefault="00522313" w:rsidP="004D2CD5">
          <w:pPr>
            <w:tabs>
              <w:tab w:val="left" w:leader="dot" w:pos="1440"/>
            </w:tabs>
            <w:ind w:left="1440" w:hanging="1440"/>
            <w:jc w:val="center"/>
            <w:rPr>
              <w:color w:val="FFFFFF"/>
              <w:spacing w:val="-15"/>
              <w:sz w:val="24"/>
              <w:szCs w:val="24"/>
            </w:rPr>
          </w:pPr>
          <w:r>
            <w:rPr>
              <w:noProof/>
              <w:color w:val="FFFFFF"/>
              <w:spacing w:val="-15"/>
              <w:sz w:val="24"/>
              <w:szCs w:val="24"/>
            </w:rPr>
            <w:drawing>
              <wp:inline distT="0" distB="0" distL="0" distR="0">
                <wp:extent cx="1238250" cy="42862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42912" w:rsidRPr="004D2CD5" w:rsidRDefault="00842912" w:rsidP="004D2CD5">
          <w:pPr>
            <w:jc w:val="center"/>
            <w:rPr>
              <w:sz w:val="16"/>
              <w:szCs w:val="24"/>
            </w:rPr>
          </w:pPr>
          <w:r w:rsidRPr="004D2CD5">
            <w:rPr>
              <w:sz w:val="16"/>
              <w:szCs w:val="24"/>
            </w:rPr>
            <w:t>1815 W First Ave Suite 110 Mesa, AZ 85202</w:t>
          </w:r>
        </w:p>
        <w:p w:rsidR="00842912" w:rsidRPr="004D2CD5" w:rsidRDefault="00842912" w:rsidP="004D2CD5">
          <w:pPr>
            <w:jc w:val="center"/>
            <w:rPr>
              <w:sz w:val="16"/>
              <w:szCs w:val="24"/>
            </w:rPr>
          </w:pPr>
          <w:r w:rsidRPr="004D2CD5">
            <w:rPr>
              <w:sz w:val="16"/>
              <w:szCs w:val="24"/>
            </w:rPr>
            <w:t>Phone: 480-461-3401     Fax: 480-461-3411</w:t>
          </w:r>
        </w:p>
        <w:p w:rsidR="00842912" w:rsidRPr="004D2CD5" w:rsidRDefault="00365460" w:rsidP="004D2CD5">
          <w:pPr>
            <w:jc w:val="center"/>
            <w:rPr>
              <w:szCs w:val="24"/>
            </w:rPr>
          </w:pPr>
          <w:hyperlink r:id="rId3" w:history="1">
            <w:r w:rsidR="00842912" w:rsidRPr="004D2CD5">
              <w:rPr>
                <w:rStyle w:val="Hyperlink"/>
                <w:sz w:val="16"/>
                <w:szCs w:val="24"/>
              </w:rPr>
              <w:t>www.gbl-data.com</w:t>
            </w:r>
          </w:hyperlink>
          <w:r w:rsidR="00842912" w:rsidRPr="004D2CD5">
            <w:rPr>
              <w:sz w:val="16"/>
              <w:szCs w:val="24"/>
            </w:rPr>
            <w:t xml:space="preserve">    sales@gbl</w:t>
          </w:r>
          <w:r w:rsidR="00666652">
            <w:rPr>
              <w:sz w:val="16"/>
              <w:szCs w:val="24"/>
            </w:rPr>
            <w:t>-</w:t>
          </w:r>
          <w:r w:rsidR="00842912" w:rsidRPr="004D2CD5">
            <w:rPr>
              <w:sz w:val="16"/>
              <w:szCs w:val="24"/>
            </w:rPr>
            <w:t>data.com</w:t>
          </w:r>
        </w:p>
        <w:p w:rsidR="00842912" w:rsidRPr="004D2CD5" w:rsidRDefault="00842912" w:rsidP="004D2CD5">
          <w:pPr>
            <w:tabs>
              <w:tab w:val="left" w:leader="dot" w:pos="1440"/>
            </w:tabs>
            <w:jc w:val="center"/>
            <w:rPr>
              <w:noProof/>
              <w:color w:val="FFFFFF"/>
              <w:spacing w:val="-15"/>
              <w:sz w:val="24"/>
              <w:szCs w:val="24"/>
            </w:rPr>
          </w:pPr>
        </w:p>
      </w:tc>
      <w:tc>
        <w:tcPr>
          <w:tcW w:w="2790" w:type="dxa"/>
        </w:tcPr>
        <w:p w:rsidR="00842912" w:rsidRPr="004D2CD5" w:rsidRDefault="00522313" w:rsidP="004D2CD5">
          <w:pPr>
            <w:tabs>
              <w:tab w:val="left" w:leader="dot" w:pos="1440"/>
            </w:tabs>
            <w:jc w:val="right"/>
            <w:rPr>
              <w:noProof/>
              <w:color w:val="FFFFFF"/>
              <w:spacing w:val="-15"/>
              <w:sz w:val="24"/>
              <w:szCs w:val="24"/>
            </w:rPr>
          </w:pPr>
          <w:r>
            <w:rPr>
              <w:noProof/>
              <w:color w:val="FFFFFF"/>
              <w:spacing w:val="-15"/>
              <w:sz w:val="24"/>
              <w:szCs w:val="24"/>
            </w:rPr>
            <w:drawing>
              <wp:inline distT="0" distB="0" distL="0" distR="0">
                <wp:extent cx="647700" cy="733425"/>
                <wp:effectExtent l="19050" t="0" r="0" b="0"/>
                <wp:docPr id="4" name="Picture 4" descr="C:\Documents and Settings\tim\My Documents\Sales &amp; Marketing\Logos\Motorola Service Part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tim\My Documents\Sales &amp; Marketing\Logos\Motorola Service Partn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438" w:rsidRDefault="00427438" w:rsidP="00CD4A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0865"/>
    <w:multiLevelType w:val="hybridMultilevel"/>
    <w:tmpl w:val="8CA07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C6CFA"/>
    <w:multiLevelType w:val="hybridMultilevel"/>
    <w:tmpl w:val="3ED84B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925483"/>
    <w:multiLevelType w:val="hybridMultilevel"/>
    <w:tmpl w:val="80C0BA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E875F1"/>
    <w:multiLevelType w:val="hybridMultilevel"/>
    <w:tmpl w:val="FA2873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C1C82"/>
    <w:rsid w:val="000130B9"/>
    <w:rsid w:val="00040A51"/>
    <w:rsid w:val="0004796B"/>
    <w:rsid w:val="000916CE"/>
    <w:rsid w:val="000A23D8"/>
    <w:rsid w:val="00172066"/>
    <w:rsid w:val="00185FDA"/>
    <w:rsid w:val="001C3630"/>
    <w:rsid w:val="001D60C8"/>
    <w:rsid w:val="001D6F07"/>
    <w:rsid w:val="001F3358"/>
    <w:rsid w:val="00216DCD"/>
    <w:rsid w:val="0022394A"/>
    <w:rsid w:val="00237CE8"/>
    <w:rsid w:val="00261F7C"/>
    <w:rsid w:val="002C7077"/>
    <w:rsid w:val="002E1A2D"/>
    <w:rsid w:val="002F66BC"/>
    <w:rsid w:val="00313034"/>
    <w:rsid w:val="00316E7F"/>
    <w:rsid w:val="003250AE"/>
    <w:rsid w:val="00333F40"/>
    <w:rsid w:val="00344682"/>
    <w:rsid w:val="00365460"/>
    <w:rsid w:val="0039007B"/>
    <w:rsid w:val="003969A0"/>
    <w:rsid w:val="003B6CE3"/>
    <w:rsid w:val="003D0B30"/>
    <w:rsid w:val="003D6013"/>
    <w:rsid w:val="003F29A7"/>
    <w:rsid w:val="004004A2"/>
    <w:rsid w:val="00427438"/>
    <w:rsid w:val="00442A84"/>
    <w:rsid w:val="00444336"/>
    <w:rsid w:val="00451A9F"/>
    <w:rsid w:val="00484B11"/>
    <w:rsid w:val="004A6FAC"/>
    <w:rsid w:val="004D2CD5"/>
    <w:rsid w:val="004E043E"/>
    <w:rsid w:val="00522313"/>
    <w:rsid w:val="005532C2"/>
    <w:rsid w:val="0056597B"/>
    <w:rsid w:val="006262BA"/>
    <w:rsid w:val="00644765"/>
    <w:rsid w:val="00662E29"/>
    <w:rsid w:val="00666652"/>
    <w:rsid w:val="00674A60"/>
    <w:rsid w:val="00686A2D"/>
    <w:rsid w:val="006905BC"/>
    <w:rsid w:val="006B19AC"/>
    <w:rsid w:val="006B7D7D"/>
    <w:rsid w:val="006D69B4"/>
    <w:rsid w:val="006E04F7"/>
    <w:rsid w:val="007374C9"/>
    <w:rsid w:val="00786630"/>
    <w:rsid w:val="007A47DE"/>
    <w:rsid w:val="007C4BD5"/>
    <w:rsid w:val="00842912"/>
    <w:rsid w:val="008610EE"/>
    <w:rsid w:val="0087624F"/>
    <w:rsid w:val="008B22B3"/>
    <w:rsid w:val="008F59AD"/>
    <w:rsid w:val="00914D40"/>
    <w:rsid w:val="0093684F"/>
    <w:rsid w:val="00942C63"/>
    <w:rsid w:val="00953292"/>
    <w:rsid w:val="00987272"/>
    <w:rsid w:val="00995516"/>
    <w:rsid w:val="009A215C"/>
    <w:rsid w:val="009F1548"/>
    <w:rsid w:val="00A0284F"/>
    <w:rsid w:val="00A44701"/>
    <w:rsid w:val="00A90822"/>
    <w:rsid w:val="00AA2AFB"/>
    <w:rsid w:val="00AA3BB7"/>
    <w:rsid w:val="00AA7D28"/>
    <w:rsid w:val="00AC108B"/>
    <w:rsid w:val="00AC1C82"/>
    <w:rsid w:val="00AC642D"/>
    <w:rsid w:val="00AD0F00"/>
    <w:rsid w:val="00AF35AF"/>
    <w:rsid w:val="00B06D7B"/>
    <w:rsid w:val="00B2461D"/>
    <w:rsid w:val="00B24B33"/>
    <w:rsid w:val="00B26CA0"/>
    <w:rsid w:val="00B477B9"/>
    <w:rsid w:val="00BD5F5E"/>
    <w:rsid w:val="00BE08F5"/>
    <w:rsid w:val="00BE36CC"/>
    <w:rsid w:val="00C205F0"/>
    <w:rsid w:val="00C20C7D"/>
    <w:rsid w:val="00C3556F"/>
    <w:rsid w:val="00C433FA"/>
    <w:rsid w:val="00C52C07"/>
    <w:rsid w:val="00C74A32"/>
    <w:rsid w:val="00C90E71"/>
    <w:rsid w:val="00CC613D"/>
    <w:rsid w:val="00CD4A81"/>
    <w:rsid w:val="00D34B76"/>
    <w:rsid w:val="00D42008"/>
    <w:rsid w:val="00DC7FC5"/>
    <w:rsid w:val="00DE4912"/>
    <w:rsid w:val="00E32C6C"/>
    <w:rsid w:val="00E41A42"/>
    <w:rsid w:val="00E4255B"/>
    <w:rsid w:val="00E75317"/>
    <w:rsid w:val="00EF66A3"/>
    <w:rsid w:val="00F00BC2"/>
    <w:rsid w:val="00FC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A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250AE"/>
    <w:pPr>
      <w:keepNext/>
      <w:widowControl w:val="0"/>
      <w:tabs>
        <w:tab w:val="left" w:pos="-1260"/>
        <w:tab w:val="left" w:pos="2160"/>
      </w:tabs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3250AE"/>
    <w:pPr>
      <w:keepNext/>
      <w:widowControl w:val="0"/>
      <w:ind w:left="2160"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3250AE"/>
    <w:pPr>
      <w:keepNext/>
      <w:tabs>
        <w:tab w:val="left" w:pos="1170"/>
        <w:tab w:val="left" w:pos="7200"/>
      </w:tabs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5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250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0AE"/>
  </w:style>
  <w:style w:type="paragraph" w:styleId="Caption">
    <w:name w:val="caption"/>
    <w:basedOn w:val="Normal"/>
    <w:next w:val="Normal"/>
    <w:qFormat/>
    <w:rsid w:val="003250AE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0B9"/>
    <w:pPr>
      <w:ind w:left="720"/>
    </w:pPr>
  </w:style>
  <w:style w:type="character" w:customStyle="1" w:styleId="FooterChar">
    <w:name w:val="Footer Char"/>
    <w:basedOn w:val="DefaultParagraphFont"/>
    <w:link w:val="Footer"/>
    <w:rsid w:val="00686A2D"/>
  </w:style>
  <w:style w:type="character" w:styleId="Hyperlink">
    <w:name w:val="Hyperlink"/>
    <w:basedOn w:val="DefaultParagraphFont"/>
    <w:uiPriority w:val="99"/>
    <w:unhideWhenUsed/>
    <w:rsid w:val="00427438"/>
    <w:rPr>
      <w:color w:val="0000FF"/>
      <w:u w:val="single"/>
    </w:rPr>
  </w:style>
  <w:style w:type="table" w:styleId="TableGrid">
    <w:name w:val="Table Grid"/>
    <w:basedOn w:val="TableNormal"/>
    <w:uiPriority w:val="59"/>
    <w:rsid w:val="00427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es@gbl-dat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l-data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ScadaPro, Inc.</Company>
  <LinksUpToDate>false</LinksUpToDate>
  <CharactersWithSpaces>2830</CharactersWithSpaces>
  <SharedDoc>false</SharedDoc>
  <HLinks>
    <vt:vector size="6" baseType="variant">
      <vt:variant>
        <vt:i4>6160401</vt:i4>
      </vt:variant>
      <vt:variant>
        <vt:i4>0</vt:i4>
      </vt:variant>
      <vt:variant>
        <vt:i4>0</vt:i4>
      </vt:variant>
      <vt:variant>
        <vt:i4>5</vt:i4>
      </vt:variant>
      <vt:variant>
        <vt:lpwstr>http://www.gbl-data.com/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Wendle</dc:creator>
  <cp:lastModifiedBy>GDSM2NewLaptop</cp:lastModifiedBy>
  <cp:revision>3</cp:revision>
  <cp:lastPrinted>2016-11-15T20:34:00Z</cp:lastPrinted>
  <dcterms:created xsi:type="dcterms:W3CDTF">2018-02-11T17:12:00Z</dcterms:created>
  <dcterms:modified xsi:type="dcterms:W3CDTF">2018-02-11T17:12:00Z</dcterms:modified>
</cp:coreProperties>
</file>